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CC18F" w14:textId="77777777" w:rsidR="00E92C53" w:rsidRDefault="00E92C53" w:rsidP="00E92C53">
      <w:pPr>
        <w:rPr>
          <w:rFonts w:asciiTheme="minorHAnsi" w:hAnsiTheme="minorHAnsi" w:cstheme="minorHAnsi"/>
          <w:sz w:val="24"/>
          <w:szCs w:val="24"/>
        </w:rPr>
      </w:pPr>
    </w:p>
    <w:p w14:paraId="7A2E9E8E" w14:textId="7601E2A4" w:rsidR="00E92C53" w:rsidRPr="00E92C53" w:rsidRDefault="006A11B8" w:rsidP="00E92C53">
      <w:pPr>
        <w:rPr>
          <w:rFonts w:asciiTheme="minorHAnsi" w:hAnsiTheme="minorHAnsi" w:cstheme="minorHAnsi"/>
          <w:b/>
          <w:bCs/>
          <w:sz w:val="28"/>
          <w:szCs w:val="28"/>
        </w:rPr>
      </w:pPr>
      <w:r w:rsidRPr="00E92C53">
        <w:rPr>
          <w:rFonts w:asciiTheme="minorHAnsi" w:hAnsiTheme="minorHAnsi" w:cstheme="minorHAnsi"/>
          <w:b/>
          <w:bCs/>
          <w:sz w:val="28"/>
          <w:szCs w:val="28"/>
        </w:rPr>
        <w:t>Memo</w:t>
      </w:r>
      <w:r w:rsidR="00A71187" w:rsidRPr="00E92C53">
        <w:rPr>
          <w:rFonts w:asciiTheme="minorHAnsi" w:hAnsiTheme="minorHAnsi" w:cstheme="minorHAnsi"/>
          <w:b/>
          <w:bCs/>
          <w:sz w:val="28"/>
          <w:szCs w:val="28"/>
        </w:rPr>
        <w:t xml:space="preserve">: </w:t>
      </w:r>
      <w:r w:rsidR="00850ECA">
        <w:rPr>
          <w:rFonts w:asciiTheme="minorHAnsi" w:hAnsiTheme="minorHAnsi" w:cstheme="minorHAnsi"/>
          <w:b/>
          <w:bCs/>
          <w:sz w:val="28"/>
          <w:szCs w:val="28"/>
        </w:rPr>
        <w:t>Statewide Threshold Criteria</w:t>
      </w:r>
      <w:r w:rsidR="00A31C22">
        <w:rPr>
          <w:rFonts w:asciiTheme="minorHAnsi" w:hAnsiTheme="minorHAnsi" w:cstheme="minorHAnsi"/>
          <w:b/>
          <w:bCs/>
          <w:sz w:val="28"/>
          <w:szCs w:val="28"/>
        </w:rPr>
        <w:t xml:space="preserve">, </w:t>
      </w:r>
      <w:r w:rsidR="004C393E">
        <w:rPr>
          <w:rFonts w:asciiTheme="minorHAnsi" w:hAnsiTheme="minorHAnsi" w:cstheme="minorHAnsi"/>
          <w:b/>
          <w:bCs/>
          <w:sz w:val="28"/>
          <w:szCs w:val="28"/>
        </w:rPr>
        <w:t>C</w:t>
      </w:r>
      <w:r w:rsidR="00A31C22">
        <w:rPr>
          <w:rFonts w:asciiTheme="minorHAnsi" w:hAnsiTheme="minorHAnsi" w:cstheme="minorHAnsi"/>
          <w:b/>
          <w:bCs/>
          <w:sz w:val="28"/>
          <w:szCs w:val="28"/>
        </w:rPr>
        <w:t xml:space="preserve">ommerce </w:t>
      </w:r>
      <w:r w:rsidR="004C393E">
        <w:rPr>
          <w:rFonts w:asciiTheme="minorHAnsi" w:hAnsiTheme="minorHAnsi" w:cstheme="minorHAnsi"/>
          <w:b/>
          <w:bCs/>
          <w:sz w:val="28"/>
          <w:szCs w:val="28"/>
        </w:rPr>
        <w:t>C</w:t>
      </w:r>
      <w:bookmarkStart w:id="0" w:name="_GoBack"/>
      <w:bookmarkEnd w:id="0"/>
      <w:r w:rsidR="00A31C22">
        <w:rPr>
          <w:rFonts w:asciiTheme="minorHAnsi" w:hAnsiTheme="minorHAnsi" w:cstheme="minorHAnsi"/>
          <w:b/>
          <w:bCs/>
          <w:sz w:val="28"/>
          <w:szCs w:val="28"/>
        </w:rPr>
        <w:t xml:space="preserve">lause </w:t>
      </w:r>
      <w:r w:rsidR="001673B4">
        <w:rPr>
          <w:rFonts w:asciiTheme="minorHAnsi" w:hAnsiTheme="minorHAnsi" w:cstheme="minorHAnsi"/>
          <w:b/>
          <w:bCs/>
          <w:sz w:val="28"/>
          <w:szCs w:val="28"/>
        </w:rPr>
        <w:t>–</w:t>
      </w:r>
      <w:r w:rsidR="00E92C53" w:rsidRPr="00E92C53">
        <w:rPr>
          <w:rFonts w:asciiTheme="minorHAnsi" w:hAnsiTheme="minorHAnsi" w:cstheme="minorHAnsi"/>
          <w:b/>
          <w:bCs/>
          <w:sz w:val="28"/>
          <w:szCs w:val="28"/>
        </w:rPr>
        <w:t xml:space="preserve"> </w:t>
      </w:r>
      <w:r w:rsidR="00850ECA">
        <w:rPr>
          <w:rFonts w:asciiTheme="minorHAnsi" w:hAnsiTheme="minorHAnsi" w:cstheme="minorHAnsi"/>
          <w:b/>
          <w:bCs/>
          <w:sz w:val="28"/>
          <w:szCs w:val="28"/>
        </w:rPr>
        <w:t>March 6</w:t>
      </w:r>
      <w:r w:rsidR="00E92C53" w:rsidRPr="00E92C53">
        <w:rPr>
          <w:rFonts w:asciiTheme="minorHAnsi" w:hAnsiTheme="minorHAnsi" w:cstheme="minorHAnsi"/>
          <w:b/>
          <w:bCs/>
          <w:sz w:val="28"/>
          <w:szCs w:val="28"/>
        </w:rPr>
        <w:t>, 2020</w:t>
      </w:r>
    </w:p>
    <w:p w14:paraId="791279F7" w14:textId="77777777" w:rsidR="00A71187" w:rsidRDefault="00A71187" w:rsidP="006A11B8">
      <w:pPr>
        <w:rPr>
          <w:rFonts w:asciiTheme="minorHAnsi" w:hAnsiTheme="minorHAnsi" w:cstheme="minorHAnsi"/>
          <w:sz w:val="24"/>
          <w:szCs w:val="24"/>
        </w:rPr>
      </w:pPr>
    </w:p>
    <w:p w14:paraId="763448C4" w14:textId="4B4916C1" w:rsidR="00FE071C" w:rsidRPr="001F4E73" w:rsidRDefault="00FE071C" w:rsidP="003604C2">
      <w:pPr>
        <w:rPr>
          <w:b/>
          <w:bCs/>
        </w:rPr>
      </w:pPr>
      <w:r w:rsidRPr="001F4E73">
        <w:rPr>
          <w:b/>
          <w:bCs/>
        </w:rPr>
        <w:t xml:space="preserve">Why is </w:t>
      </w:r>
      <w:r w:rsidR="00F77024">
        <w:rPr>
          <w:b/>
          <w:bCs/>
        </w:rPr>
        <w:t xml:space="preserve">the </w:t>
      </w:r>
      <w:r w:rsidR="00156673" w:rsidRPr="001F4E73">
        <w:rPr>
          <w:b/>
          <w:bCs/>
        </w:rPr>
        <w:t xml:space="preserve">threshold </w:t>
      </w:r>
      <w:r w:rsidR="00F77024">
        <w:rPr>
          <w:b/>
          <w:bCs/>
        </w:rPr>
        <w:t>based off of</w:t>
      </w:r>
      <w:r w:rsidR="00791F64">
        <w:rPr>
          <w:b/>
          <w:bCs/>
        </w:rPr>
        <w:t xml:space="preserve"> the</w:t>
      </w:r>
      <w:r w:rsidR="00F77024">
        <w:rPr>
          <w:b/>
          <w:bCs/>
        </w:rPr>
        <w:t xml:space="preserve"> </w:t>
      </w:r>
      <w:r w:rsidR="00BE5016">
        <w:rPr>
          <w:b/>
          <w:bCs/>
        </w:rPr>
        <w:t xml:space="preserve">sales made into </w:t>
      </w:r>
      <w:r w:rsidR="005A4137">
        <w:rPr>
          <w:b/>
          <w:bCs/>
        </w:rPr>
        <w:t>the state</w:t>
      </w:r>
      <w:r w:rsidR="00DF5416">
        <w:rPr>
          <w:b/>
          <w:bCs/>
        </w:rPr>
        <w:t xml:space="preserve"> of Alaska </w:t>
      </w:r>
      <w:r w:rsidR="00B32F7E" w:rsidRPr="001F4E73">
        <w:rPr>
          <w:b/>
          <w:bCs/>
        </w:rPr>
        <w:t xml:space="preserve">and not just </w:t>
      </w:r>
      <w:r w:rsidR="00066C5F">
        <w:rPr>
          <w:b/>
          <w:bCs/>
        </w:rPr>
        <w:t>sales made in</w:t>
      </w:r>
      <w:r w:rsidR="00DF5416">
        <w:rPr>
          <w:b/>
          <w:bCs/>
        </w:rPr>
        <w:t>to</w:t>
      </w:r>
      <w:r w:rsidR="00066C5F">
        <w:rPr>
          <w:b/>
          <w:bCs/>
        </w:rPr>
        <w:t xml:space="preserve"> t</w:t>
      </w:r>
      <w:r w:rsidR="00611697" w:rsidRPr="001F4E73">
        <w:rPr>
          <w:b/>
          <w:bCs/>
        </w:rPr>
        <w:t xml:space="preserve">he </w:t>
      </w:r>
      <w:r w:rsidR="00105CB9">
        <w:rPr>
          <w:b/>
          <w:bCs/>
        </w:rPr>
        <w:t xml:space="preserve">participating </w:t>
      </w:r>
      <w:r w:rsidR="00611697" w:rsidRPr="001F4E73">
        <w:rPr>
          <w:b/>
          <w:bCs/>
        </w:rPr>
        <w:t xml:space="preserve">jurisdictions of the </w:t>
      </w:r>
      <w:r w:rsidR="001F4E73" w:rsidRPr="001F4E73">
        <w:rPr>
          <w:b/>
          <w:bCs/>
        </w:rPr>
        <w:t>Commission members who have adopted the code?</w:t>
      </w:r>
    </w:p>
    <w:p w14:paraId="6CFE133E" w14:textId="77777777" w:rsidR="001F4E73" w:rsidRDefault="001F4E73" w:rsidP="003604C2"/>
    <w:p w14:paraId="458FF6D2" w14:textId="7AB7BF56" w:rsidR="003604C2" w:rsidRDefault="003604C2" w:rsidP="003604C2">
      <w:r>
        <w:t xml:space="preserve">The Commerce Clause regulates commerce between the states, it is not subdivided among local jurisdictions within a states.  In </w:t>
      </w:r>
      <w:r>
        <w:rPr>
          <w:i/>
          <w:iCs/>
        </w:rPr>
        <w:t>S. Dakota v. Wayfair, Inc</w:t>
      </w:r>
      <w:r>
        <w:t xml:space="preserve">., 138 S. Ct. 2080 (2018), the Supreme Court identified a statewide threshold test as a safe harbor for meeting the Commerce Clause’s substantial nexus retirement.  The Supreme Court in </w:t>
      </w:r>
      <w:r>
        <w:rPr>
          <w:i/>
          <w:iCs/>
        </w:rPr>
        <w:t>Wayfiar</w:t>
      </w:r>
      <w:r>
        <w:t xml:space="preserve"> held that “Here, the nexus is clearly sufficient based on both the economic and virtual contacts respondents have with the State. The [South Dakota] Act applies only to sellers that deliver more than $100,000 of goods or services into South Dakota or engage in 200 or more separate transactions for the delivery of goods and services into the State on an annual basis.” </w:t>
      </w:r>
      <w:r>
        <w:rPr>
          <w:i/>
          <w:iCs/>
        </w:rPr>
        <w:t>S. Dakota v. Wayfair, Inc</w:t>
      </w:r>
      <w:r>
        <w:t>., 138 S. Ct. 2080, 2099 (2018).   </w:t>
      </w:r>
    </w:p>
    <w:p w14:paraId="3EFCBE37" w14:textId="77777777" w:rsidR="003604C2" w:rsidRDefault="003604C2" w:rsidP="003604C2"/>
    <w:p w14:paraId="011A1B5A" w14:textId="77777777" w:rsidR="003604C2" w:rsidRDefault="003604C2" w:rsidP="003604C2">
      <w:r>
        <w:t>Accordingly, the economic nexus safe harbor established in Wayfair is a state-wide test. The Commerce Clause regulates commerce between the states.  Once nexus is established with a state, the inquiry is over and a seller may not refuse to collect sales tax on the basis of lack of nexus.  </w:t>
      </w:r>
    </w:p>
    <w:p w14:paraId="6197F73A" w14:textId="77777777" w:rsidR="003604C2" w:rsidRDefault="003604C2" w:rsidP="003604C2"/>
    <w:p w14:paraId="1DF45A5E" w14:textId="77777777" w:rsidR="003604C2" w:rsidRDefault="003604C2" w:rsidP="003604C2">
      <w:r>
        <w:t xml:space="preserve">For example, in </w:t>
      </w:r>
      <w:r>
        <w:rPr>
          <w:i/>
          <w:iCs/>
        </w:rPr>
        <w:t>Aldens v. Tully</w:t>
      </w:r>
      <w:r>
        <w:t xml:space="preserve">, 404 N.E.2d 703, 708 (N.Y. 1980), appeal dismissed, 449 U.S. 802 (1980), the court held that an out-of- state vendor with nexus in the state may not raise federal constitutional objections to a local tax collection obligation: </w:t>
      </w:r>
    </w:p>
    <w:p w14:paraId="423B957A" w14:textId="77777777" w:rsidR="003604C2" w:rsidRDefault="003604C2" w:rsidP="003604C2"/>
    <w:p w14:paraId="02E22E2F" w14:textId="77777777" w:rsidR="003604C2" w:rsidRDefault="003604C2" w:rsidP="003604C2">
      <w:pPr>
        <w:ind w:left="720"/>
      </w:pPr>
      <w:r>
        <w:t xml:space="preserve">“[S]imply because there are constitutional limitations on the burdens which may be placed on interstate commerce, it does not follow, nor is there any precedent for holding, that that burden is to be measured by further compartmentalization of each state into its municipal subdivisions. No historical predicate is advanced to indicate that in assuring protection of commerce among the several States, any such intrastate partitioning was contemplated, and petitioner cites no Supreme Court cases so holding.”   </w:t>
      </w:r>
    </w:p>
    <w:p w14:paraId="3A1271C7" w14:textId="77777777" w:rsidR="003604C2" w:rsidRDefault="003604C2" w:rsidP="003604C2"/>
    <w:p w14:paraId="70A3BBAE" w14:textId="77777777" w:rsidR="003604C2" w:rsidRDefault="003604C2" w:rsidP="003604C2">
      <w:pPr>
        <w:rPr>
          <w:rFonts w:ascii="Times New Roman" w:hAnsi="Times New Roman" w:cs="Times New Roman"/>
          <w:sz w:val="24"/>
          <w:szCs w:val="24"/>
        </w:rPr>
      </w:pPr>
      <w:r>
        <w:t>As Walter Hellerstein</w:t>
      </w:r>
      <w:r>
        <w:rPr>
          <w:rFonts w:ascii="Times New Roman" w:hAnsi="Times New Roman" w:cs="Times New Roman"/>
          <w:sz w:val="24"/>
          <w:szCs w:val="24"/>
        </w:rPr>
        <w:t xml:space="preserve"> observes:</w:t>
      </w:r>
    </w:p>
    <w:p w14:paraId="5463F1A1" w14:textId="77777777" w:rsidR="003604C2" w:rsidRDefault="003604C2" w:rsidP="003604C2">
      <w:pPr>
        <w:ind w:left="720"/>
        <w:rPr>
          <w:rFonts w:ascii="Times New Roman" w:hAnsi="Times New Roman" w:cs="Times New Roman"/>
          <w:sz w:val="24"/>
          <w:szCs w:val="24"/>
        </w:rPr>
      </w:pPr>
    </w:p>
    <w:p w14:paraId="19398B3A" w14:textId="77777777" w:rsidR="003604C2" w:rsidRDefault="003604C2" w:rsidP="003604C2">
      <w:pPr>
        <w:ind w:left="720"/>
      </w:pPr>
      <w:r>
        <w:t>“Consistent with the language of the federal constitutional restraints on state action that is directed to the exercise of power by the state (whether exercised directly or indirectly through a political subdivision), these restraints do not limit the way the state exercises power “internally,” at least insofar as the question relates to the distribution of taxing or other government power within the state.</w:t>
      </w:r>
    </w:p>
    <w:p w14:paraId="4F9EEC76" w14:textId="77777777" w:rsidR="003604C2" w:rsidRDefault="003604C2" w:rsidP="003604C2"/>
    <w:p w14:paraId="1EE25425" w14:textId="77777777" w:rsidR="003604C2" w:rsidRDefault="003604C2" w:rsidP="003604C2">
      <w:r>
        <w:t>Walter Hellerstein, Federal Constitutional Restraints on Property Tax Assessment Limitations: An Analysis of Florida’s ‘Portability’ Proposals, State Tax Notes, June 11, 2007, p. 789, 791.</w:t>
      </w:r>
    </w:p>
    <w:p w14:paraId="5E100B7D" w14:textId="5B8D8569" w:rsidR="00B76CF6" w:rsidRPr="00A71187" w:rsidRDefault="00B76CF6" w:rsidP="00B76CF6">
      <w:pPr>
        <w:rPr>
          <w:rFonts w:asciiTheme="minorHAnsi" w:hAnsiTheme="minorHAnsi" w:cstheme="minorHAnsi"/>
          <w:sz w:val="24"/>
          <w:szCs w:val="24"/>
        </w:rPr>
      </w:pPr>
    </w:p>
    <w:sectPr w:rsidR="00B76CF6" w:rsidRPr="00A711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849C" w14:textId="77777777" w:rsidR="00001FFB" w:rsidRDefault="00001FFB" w:rsidP="00A71187">
      <w:r>
        <w:separator/>
      </w:r>
    </w:p>
  </w:endnote>
  <w:endnote w:type="continuationSeparator" w:id="0">
    <w:p w14:paraId="69CF34A4" w14:textId="77777777" w:rsidR="00001FFB" w:rsidRDefault="00001FFB" w:rsidP="00A7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00932"/>
      <w:docPartObj>
        <w:docPartGallery w:val="Page Numbers (Bottom of Page)"/>
        <w:docPartUnique/>
      </w:docPartObj>
    </w:sdtPr>
    <w:sdtEndPr/>
    <w:sdtContent>
      <w:sdt>
        <w:sdtPr>
          <w:id w:val="1728636285"/>
          <w:docPartObj>
            <w:docPartGallery w:val="Page Numbers (Top of Page)"/>
            <w:docPartUnique/>
          </w:docPartObj>
        </w:sdtPr>
        <w:sdtEndPr/>
        <w:sdtContent>
          <w:p w14:paraId="1AEE584A" w14:textId="5D623FCE" w:rsidR="009B4CC8" w:rsidRDefault="00D41630" w:rsidP="009B4CC8">
            <w:pPr>
              <w:pStyle w:val="Footer"/>
            </w:pPr>
            <w:r>
              <w:t>Draft 3.6.2020</w:t>
            </w:r>
            <w:r w:rsidR="00EC2EC3">
              <w:tab/>
            </w:r>
            <w:r w:rsidR="009B4CC8">
              <w:t xml:space="preserve">Page </w:t>
            </w:r>
            <w:r w:rsidR="009B4CC8">
              <w:rPr>
                <w:b/>
                <w:bCs/>
                <w:sz w:val="24"/>
                <w:szCs w:val="24"/>
              </w:rPr>
              <w:fldChar w:fldCharType="begin"/>
            </w:r>
            <w:r w:rsidR="009B4CC8">
              <w:rPr>
                <w:b/>
                <w:bCs/>
              </w:rPr>
              <w:instrText xml:space="preserve"> PAGE </w:instrText>
            </w:r>
            <w:r w:rsidR="009B4CC8">
              <w:rPr>
                <w:b/>
                <w:bCs/>
                <w:sz w:val="24"/>
                <w:szCs w:val="24"/>
              </w:rPr>
              <w:fldChar w:fldCharType="separate"/>
            </w:r>
            <w:r w:rsidR="009B4CC8">
              <w:rPr>
                <w:b/>
                <w:bCs/>
                <w:noProof/>
              </w:rPr>
              <w:t>2</w:t>
            </w:r>
            <w:r w:rsidR="009B4CC8">
              <w:rPr>
                <w:b/>
                <w:bCs/>
                <w:sz w:val="24"/>
                <w:szCs w:val="24"/>
              </w:rPr>
              <w:fldChar w:fldCharType="end"/>
            </w:r>
            <w:r w:rsidR="009B4CC8">
              <w:t xml:space="preserve"> of </w:t>
            </w:r>
            <w:r w:rsidR="009B4CC8">
              <w:rPr>
                <w:b/>
                <w:bCs/>
                <w:sz w:val="24"/>
                <w:szCs w:val="24"/>
              </w:rPr>
              <w:fldChar w:fldCharType="begin"/>
            </w:r>
            <w:r w:rsidR="009B4CC8">
              <w:rPr>
                <w:b/>
                <w:bCs/>
              </w:rPr>
              <w:instrText xml:space="preserve"> NUMPAGES  </w:instrText>
            </w:r>
            <w:r w:rsidR="009B4CC8">
              <w:rPr>
                <w:b/>
                <w:bCs/>
                <w:sz w:val="24"/>
                <w:szCs w:val="24"/>
              </w:rPr>
              <w:fldChar w:fldCharType="separate"/>
            </w:r>
            <w:r w:rsidR="009B4CC8">
              <w:rPr>
                <w:b/>
                <w:bCs/>
                <w:noProof/>
              </w:rPr>
              <w:t>2</w:t>
            </w:r>
            <w:r w:rsidR="009B4CC8">
              <w:rPr>
                <w:b/>
                <w:bCs/>
                <w:sz w:val="24"/>
                <w:szCs w:val="24"/>
              </w:rPr>
              <w:fldChar w:fldCharType="end"/>
            </w:r>
          </w:p>
        </w:sdtContent>
      </w:sdt>
    </w:sdtContent>
  </w:sdt>
  <w:p w14:paraId="29EF3D3B" w14:textId="77777777" w:rsidR="00A71187" w:rsidRDefault="00A7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3282A" w14:textId="77777777" w:rsidR="00001FFB" w:rsidRDefault="00001FFB" w:rsidP="00A71187">
      <w:r>
        <w:separator/>
      </w:r>
    </w:p>
  </w:footnote>
  <w:footnote w:type="continuationSeparator" w:id="0">
    <w:p w14:paraId="17A352E2" w14:textId="77777777" w:rsidR="00001FFB" w:rsidRDefault="00001FFB" w:rsidP="00A7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3D68" w14:textId="1DF21CAA" w:rsidR="00A71187" w:rsidRDefault="00656D7D" w:rsidP="00F86636">
    <w:pPr>
      <w:pStyle w:val="Header"/>
      <w:jc w:val="center"/>
    </w:pPr>
    <w:r>
      <w:rPr>
        <w:noProof/>
      </w:rPr>
      <w:drawing>
        <wp:inline distT="0" distB="0" distL="0" distR="0" wp14:anchorId="6C4254F6" wp14:editId="67B881DC">
          <wp:extent cx="1514475" cy="87439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SSTC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561085" cy="901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C6B44"/>
    <w:multiLevelType w:val="hybridMultilevel"/>
    <w:tmpl w:val="8768160A"/>
    <w:lvl w:ilvl="0" w:tplc="0409000F">
      <w:start w:val="1"/>
      <w:numFmt w:val="decimal"/>
      <w:lvlText w:val="%1."/>
      <w:lvlJc w:val="left"/>
      <w:pPr>
        <w:ind w:left="720" w:hanging="360"/>
      </w:pPr>
    </w:lvl>
    <w:lvl w:ilvl="1" w:tplc="C03EAAE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262232EE">
      <w:start w:val="1"/>
      <w:numFmt w:val="upperLetter"/>
      <w:lvlText w:val="%4."/>
      <w:lvlJc w:val="left"/>
      <w:pPr>
        <w:ind w:left="3060" w:hanging="5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8E84D9F"/>
    <w:multiLevelType w:val="hybridMultilevel"/>
    <w:tmpl w:val="EB9C870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LQwNzW3NDUxNTBX0lEKTi0uzszPAykwrwUAqGvRhywAAAA="/>
  </w:docVars>
  <w:rsids>
    <w:rsidRoot w:val="006A11B8"/>
    <w:rsid w:val="00001FFB"/>
    <w:rsid w:val="00066C5F"/>
    <w:rsid w:val="00081A7E"/>
    <w:rsid w:val="000A1E0C"/>
    <w:rsid w:val="000E3FF2"/>
    <w:rsid w:val="00105CB9"/>
    <w:rsid w:val="001167B5"/>
    <w:rsid w:val="001553D4"/>
    <w:rsid w:val="00156673"/>
    <w:rsid w:val="001673B4"/>
    <w:rsid w:val="0017670E"/>
    <w:rsid w:val="001F4E73"/>
    <w:rsid w:val="00235874"/>
    <w:rsid w:val="002546B5"/>
    <w:rsid w:val="0028447C"/>
    <w:rsid w:val="00291629"/>
    <w:rsid w:val="002A5260"/>
    <w:rsid w:val="00314177"/>
    <w:rsid w:val="003604C2"/>
    <w:rsid w:val="00414F9F"/>
    <w:rsid w:val="00461DA3"/>
    <w:rsid w:val="004C393E"/>
    <w:rsid w:val="005A4137"/>
    <w:rsid w:val="005A6572"/>
    <w:rsid w:val="00611697"/>
    <w:rsid w:val="00627AC0"/>
    <w:rsid w:val="00656D7D"/>
    <w:rsid w:val="006A11B8"/>
    <w:rsid w:val="006B3AF0"/>
    <w:rsid w:val="006F4EF8"/>
    <w:rsid w:val="00701A23"/>
    <w:rsid w:val="00710C09"/>
    <w:rsid w:val="007735CB"/>
    <w:rsid w:val="00791F64"/>
    <w:rsid w:val="007978F8"/>
    <w:rsid w:val="007B7391"/>
    <w:rsid w:val="007F52A2"/>
    <w:rsid w:val="0081333D"/>
    <w:rsid w:val="00850ECA"/>
    <w:rsid w:val="00886DF7"/>
    <w:rsid w:val="008D229E"/>
    <w:rsid w:val="008F22FF"/>
    <w:rsid w:val="008F71AF"/>
    <w:rsid w:val="009B4CC8"/>
    <w:rsid w:val="009E2D43"/>
    <w:rsid w:val="00A31C22"/>
    <w:rsid w:val="00A71187"/>
    <w:rsid w:val="00AE659F"/>
    <w:rsid w:val="00B15917"/>
    <w:rsid w:val="00B32F7E"/>
    <w:rsid w:val="00B76CF6"/>
    <w:rsid w:val="00BE2135"/>
    <w:rsid w:val="00BE5016"/>
    <w:rsid w:val="00C94ACE"/>
    <w:rsid w:val="00D11048"/>
    <w:rsid w:val="00D41630"/>
    <w:rsid w:val="00DB38AF"/>
    <w:rsid w:val="00DE1389"/>
    <w:rsid w:val="00DF5416"/>
    <w:rsid w:val="00E074FB"/>
    <w:rsid w:val="00E67175"/>
    <w:rsid w:val="00E92C53"/>
    <w:rsid w:val="00EC2EC3"/>
    <w:rsid w:val="00EE07F0"/>
    <w:rsid w:val="00F77024"/>
    <w:rsid w:val="00F86636"/>
    <w:rsid w:val="00F91879"/>
    <w:rsid w:val="00FB1EC8"/>
    <w:rsid w:val="00FD62FD"/>
    <w:rsid w:val="00FE071C"/>
    <w:rsid w:val="00FE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4A96D"/>
  <w15:chartTrackingRefBased/>
  <w15:docId w15:val="{02708A0D-DD3E-454A-AE2D-66F742D4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CE"/>
    <w:pPr>
      <w:autoSpaceDE w:val="0"/>
      <w:autoSpaceDN w:val="0"/>
      <w:ind w:left="120" w:right="116" w:firstLine="256"/>
      <w:jc w:val="both"/>
    </w:pPr>
    <w:rPr>
      <w:rFonts w:ascii="Garamond" w:hAnsi="Garamond"/>
    </w:rPr>
  </w:style>
  <w:style w:type="paragraph" w:styleId="Header">
    <w:name w:val="header"/>
    <w:basedOn w:val="Normal"/>
    <w:link w:val="HeaderChar"/>
    <w:uiPriority w:val="99"/>
    <w:unhideWhenUsed/>
    <w:rsid w:val="00A71187"/>
    <w:pPr>
      <w:tabs>
        <w:tab w:val="center" w:pos="4680"/>
        <w:tab w:val="right" w:pos="9360"/>
      </w:tabs>
    </w:pPr>
  </w:style>
  <w:style w:type="character" w:customStyle="1" w:styleId="HeaderChar">
    <w:name w:val="Header Char"/>
    <w:basedOn w:val="DefaultParagraphFont"/>
    <w:link w:val="Header"/>
    <w:uiPriority w:val="99"/>
    <w:rsid w:val="00A71187"/>
    <w:rPr>
      <w:rFonts w:ascii="Calibri" w:hAnsi="Calibri" w:cs="Calibri"/>
    </w:rPr>
  </w:style>
  <w:style w:type="paragraph" w:styleId="Footer">
    <w:name w:val="footer"/>
    <w:basedOn w:val="Normal"/>
    <w:link w:val="FooterChar"/>
    <w:uiPriority w:val="99"/>
    <w:unhideWhenUsed/>
    <w:rsid w:val="00A71187"/>
    <w:pPr>
      <w:tabs>
        <w:tab w:val="center" w:pos="4680"/>
        <w:tab w:val="right" w:pos="9360"/>
      </w:tabs>
    </w:pPr>
  </w:style>
  <w:style w:type="character" w:customStyle="1" w:styleId="FooterChar">
    <w:name w:val="Footer Char"/>
    <w:basedOn w:val="DefaultParagraphFont"/>
    <w:link w:val="Footer"/>
    <w:uiPriority w:val="99"/>
    <w:rsid w:val="00A7118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6914">
      <w:bodyDiv w:val="1"/>
      <w:marLeft w:val="0"/>
      <w:marRight w:val="0"/>
      <w:marTop w:val="0"/>
      <w:marBottom w:val="0"/>
      <w:divBdr>
        <w:top w:val="none" w:sz="0" w:space="0" w:color="auto"/>
        <w:left w:val="none" w:sz="0" w:space="0" w:color="auto"/>
        <w:bottom w:val="none" w:sz="0" w:space="0" w:color="auto"/>
        <w:right w:val="none" w:sz="0" w:space="0" w:color="auto"/>
      </w:divBdr>
    </w:div>
    <w:div w:id="966011619">
      <w:bodyDiv w:val="1"/>
      <w:marLeft w:val="0"/>
      <w:marRight w:val="0"/>
      <w:marTop w:val="0"/>
      <w:marBottom w:val="0"/>
      <w:divBdr>
        <w:top w:val="none" w:sz="0" w:space="0" w:color="auto"/>
        <w:left w:val="none" w:sz="0" w:space="0" w:color="auto"/>
        <w:bottom w:val="none" w:sz="0" w:space="0" w:color="auto"/>
        <w:right w:val="none" w:sz="0" w:space="0" w:color="auto"/>
      </w:divBdr>
    </w:div>
    <w:div w:id="16046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04901BBE3934BA6092CD2AE29F128" ma:contentTypeVersion="13" ma:contentTypeDescription="Create a new document." ma:contentTypeScope="" ma:versionID="fd6c21b8af16df2cbc63a8daee8c4e73">
  <xsd:schema xmlns:xsd="http://www.w3.org/2001/XMLSchema" xmlns:xs="http://www.w3.org/2001/XMLSchema" xmlns:p="http://schemas.microsoft.com/office/2006/metadata/properties" xmlns:ns3="cdc4b9be-cba2-42ff-8787-60daf0637634" xmlns:ns4="88ad27b1-68b0-4d00-ac1d-241c76855bb2" targetNamespace="http://schemas.microsoft.com/office/2006/metadata/properties" ma:root="true" ma:fieldsID="c988a3d2358f8956cad858e6e22437ac" ns3:_="" ns4:_="">
    <xsd:import namespace="cdc4b9be-cba2-42ff-8787-60daf0637634"/>
    <xsd:import namespace="88ad27b1-68b0-4d00-ac1d-241c76855b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4b9be-cba2-42ff-8787-60daf0637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d27b1-68b0-4d00-ac1d-241c76855b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C6996-3B7C-4DAF-837F-6DD8D09B2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4b9be-cba2-42ff-8787-60daf0637634"/>
    <ds:schemaRef ds:uri="88ad27b1-68b0-4d00-ac1d-241c76855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C4166-4A79-491F-BD20-564F41750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CD0DD-869A-42E1-B2ED-8D711E709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Wesley</dc:creator>
  <cp:keywords/>
  <dc:description/>
  <cp:lastModifiedBy>Dawn Wesley</cp:lastModifiedBy>
  <cp:revision>23</cp:revision>
  <dcterms:created xsi:type="dcterms:W3CDTF">2020-03-06T20:36:00Z</dcterms:created>
  <dcterms:modified xsi:type="dcterms:W3CDTF">2020-03-07T00:10:00Z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0x01010043104901BBE3934BA6092CD2AE29F128</vt:lpwstr>
  </property>
</Properties>
</file>